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5B20714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4E7A05">
        <w:t>Cavaglià</w:t>
      </w:r>
      <w:r w:rsidR="00DA2F35">
        <w:br/>
      </w:r>
      <w:r>
        <w:t>e-mail:</w:t>
      </w:r>
      <w:r w:rsidR="00DA2F35">
        <w:t xml:space="preserve"> </w:t>
      </w:r>
      <w:r w:rsidR="004E7A05" w:rsidRPr="004E7A05">
        <w:t>cavaglia@ptb.provincia.biella.it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…………………………………………………………..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484C2DEE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4E7A05">
        <w:rPr>
          <w:rFonts w:ascii="Arial" w:hAnsi="Arial" w:cs="Arial"/>
          <w:i/>
          <w:iCs/>
          <w:sz w:val="16"/>
          <w:szCs w:val="16"/>
        </w:rPr>
        <w:t>Cavaglià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4E7A05">
        <w:rPr>
          <w:rFonts w:ascii="Arial" w:hAnsi="Arial" w:cs="Arial"/>
          <w:i/>
          <w:iCs/>
          <w:sz w:val="16"/>
          <w:szCs w:val="16"/>
        </w:rPr>
        <w:t>Cavaglià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3FD0FC23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4E7A05">
        <w:rPr>
          <w:rFonts w:ascii="Arial" w:hAnsi="Arial" w:cs="Arial"/>
          <w:i/>
          <w:iCs/>
          <w:sz w:val="16"/>
          <w:szCs w:val="16"/>
        </w:rPr>
        <w:t>Cavaglià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4E7A05" w:rsidRPr="004E7A05">
        <w:rPr>
          <w:rFonts w:ascii="Arial" w:hAnsi="Arial" w:cs="Arial"/>
          <w:i/>
          <w:iCs/>
          <w:sz w:val="16"/>
          <w:szCs w:val="16"/>
        </w:rPr>
        <w:t>privacy@labor-service.it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F599A"/>
    <w:rsid w:val="004E7A05"/>
    <w:rsid w:val="00536C19"/>
    <w:rsid w:val="007C6DD7"/>
    <w:rsid w:val="008137BC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Stefania Rizzotto (Pigal)</cp:lastModifiedBy>
  <cp:revision>8</cp:revision>
  <dcterms:created xsi:type="dcterms:W3CDTF">2023-11-22T13:39:00Z</dcterms:created>
  <dcterms:modified xsi:type="dcterms:W3CDTF">2024-12-05T09:01:00Z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